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沪通高频电刀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28"/>
          <w:szCs w:val="28"/>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YD2000A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928485" cy="7943215"/>
            <wp:effectExtent l="0" t="0" r="5715" b="635"/>
            <wp:docPr id="1" name="图片 1" descr="沪通YD2000-氩气高频电刀-主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沪通YD2000-氩气高频电刀-主图04"/>
                    <pic:cNvPicPr>
                      <a:picLocks noChangeAspect="1"/>
                    </pic:cNvPicPr>
                  </pic:nvPicPr>
                  <pic:blipFill>
                    <a:blip r:embed="rId6"/>
                    <a:stretch>
                      <a:fillRect/>
                    </a:stretch>
                  </pic:blipFill>
                  <pic:spPr>
                    <a:xfrm>
                      <a:off x="0" y="0"/>
                      <a:ext cx="6928485" cy="794321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rPr>
        <w:t>沪通</w:t>
      </w:r>
      <w:r>
        <w:rPr>
          <w:rFonts w:hint="eastAsia" w:ascii="宋体" w:hAnsi="宋体" w:eastAsia="宋体" w:cs="宋体"/>
          <w:b/>
          <w:bCs/>
          <w:i w:val="0"/>
          <w:caps w:val="0"/>
          <w:color w:val="333333"/>
          <w:spacing w:val="0"/>
          <w:sz w:val="36"/>
          <w:szCs w:val="36"/>
          <w:shd w:val="clear" w:fill="FFFFFF"/>
          <w:lang w:val="en-US" w:eastAsia="zh-CN"/>
        </w:rPr>
        <w:t xml:space="preserve"> </w:t>
      </w:r>
      <w:r>
        <w:rPr>
          <w:rFonts w:hint="eastAsia" w:ascii="宋体" w:hAnsi="宋体" w:eastAsia="宋体" w:cs="宋体"/>
          <w:b/>
          <w:bCs/>
          <w:i w:val="0"/>
          <w:caps w:val="0"/>
          <w:color w:val="333333"/>
          <w:spacing w:val="0"/>
          <w:sz w:val="36"/>
          <w:szCs w:val="36"/>
          <w:shd w:val="clear" w:fill="FFFFFF"/>
        </w:rPr>
        <w:t>高频电刀</w:t>
      </w:r>
      <w:r>
        <w:rPr>
          <w:rFonts w:hint="eastAsia" w:ascii="宋体" w:hAnsi="宋体" w:eastAsia="宋体" w:cs="宋体"/>
          <w:b/>
          <w:bCs/>
          <w:i w:val="0"/>
          <w:caps w:val="0"/>
          <w:color w:val="333333"/>
          <w:spacing w:val="0"/>
          <w:sz w:val="36"/>
          <w:szCs w:val="36"/>
          <w:shd w:val="clear" w:fill="FFFFFF"/>
          <w:lang w:val="en-US" w:eastAsia="zh-CN"/>
        </w:rPr>
        <w:t xml:space="preserve"> YD2000A</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40" w:firstLineChars="200"/>
        <w:jc w:val="both"/>
        <w:textAlignment w:val="auto"/>
        <w:outlineLvl w:val="9"/>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YD2000A型氩气电刀集切割、凝血、氩离子凝固技术于一体，可增强切割、凝血效果，减轻灼伤，减少烟雾、异味。因其止血能力</w:t>
      </w:r>
      <w:bookmarkStart w:id="0" w:name="_GoBack"/>
      <w:bookmarkEnd w:id="0"/>
      <w:r>
        <w:rPr>
          <w:rFonts w:hint="eastAsia" w:ascii="宋体" w:hAnsi="宋体" w:eastAsia="宋体" w:cs="宋体"/>
          <w:i w:val="0"/>
          <w:caps w:val="0"/>
          <w:color w:val="333333"/>
          <w:spacing w:val="0"/>
          <w:sz w:val="32"/>
          <w:szCs w:val="32"/>
          <w:shd w:val="clear" w:fill="FFFFFF"/>
        </w:rPr>
        <w:t>强，适合于出血较多的肝、脾类外科手术，配以合适的内镜设备和附件，可用于各种内镜手术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rPr>
      </w:pPr>
      <w:r>
        <w:rPr>
          <w:rFonts w:hint="eastAsia" w:ascii="宋体" w:hAnsi="宋体" w:eastAsia="宋体" w:cs="宋体"/>
          <w:b/>
          <w:bCs/>
          <w:i w:val="0"/>
          <w:caps w:val="0"/>
          <w:color w:val="333333"/>
          <w:spacing w:val="0"/>
          <w:sz w:val="36"/>
          <w:szCs w:val="36"/>
          <w:shd w:val="clear" w:fill="FFFFFF"/>
        </w:rPr>
        <w:t>产品特点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YD2000A氩气电刀将氩气工作台和多功能高频电刀合二为一，增强切、凝效果，减轻灼伤，减少手术过程中的烟雾、气味，适用于各类大中型及水下汽化手术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四种工作模式（带有间切功能，切凝自动交替输出）：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xml:space="preserve"> ① 混切1、②混切2、③凝、④面凝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两路输出端口：一个手控刀端口，一个脚控刀端口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功率自动补偿系统：针对不同人体组织自动调节功率输出，达到切割和凝血效果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功率输出采用CPU双闭环控制：一旦有功率输出偏离安全设定值，CPU控制回路将切断电刀输出，确保安全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中性极板监测系统：单片极板模式采用连续性检测器；双片极板模式，系统自动监测极板与病员皮肤的接触质量并以排灯形式显示于操作面板上，若接触质量低于设定值，会有声光报警并切断电刀输出，确保安全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带有自修复和掉电记忆功能并采用APFC电路，能更好的适应电压不稳定或者大波动，保证稳定高效的输出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全悬浮（CF）型并带有短路保护系统，单级手术中万一电极和中性极板短接，主机能自我保护并确保正常输出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lang w:eastAsia="zh-CN"/>
        </w:rPr>
      </w:pPr>
      <w:r>
        <w:rPr>
          <w:rFonts w:hint="eastAsia" w:ascii="宋体" w:hAnsi="宋体" w:eastAsia="宋体" w:cs="宋体"/>
          <w:i w:val="0"/>
          <w:caps w:val="0"/>
          <w:color w:val="333333"/>
          <w:spacing w:val="0"/>
          <w:sz w:val="32"/>
          <w:szCs w:val="32"/>
          <w:shd w:val="clear" w:fill="FFFFFF"/>
        </w:rPr>
        <w:t xml:space="preserve"> </w:t>
      </w:r>
      <w:r>
        <w:rPr>
          <w:rFonts w:hint="eastAsia" w:ascii="宋体" w:hAnsi="宋体" w:eastAsia="宋体" w:cs="宋体"/>
          <w:i w:val="0"/>
          <w:caps w:val="0"/>
          <w:color w:val="333333"/>
          <w:spacing w:val="0"/>
          <w:sz w:val="32"/>
          <w:szCs w:val="32"/>
          <w:shd w:val="clear" w:fill="FFFFFF"/>
          <w:lang w:eastAsia="zh-CN"/>
        </w:rPr>
        <w:drawing>
          <wp:inline distT="0" distB="0" distL="114300" distR="114300">
            <wp:extent cx="6468745" cy="6468745"/>
            <wp:effectExtent l="0" t="0" r="8255" b="8255"/>
            <wp:docPr id="7" name="图片 7" descr="沪通YD2000A-氩气高频电刀-主图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沪通YD2000A-氩气高频电刀-主图05"/>
                    <pic:cNvPicPr>
                      <a:picLocks noChangeAspect="1"/>
                    </pic:cNvPicPr>
                  </pic:nvPicPr>
                  <pic:blipFill>
                    <a:blip r:embed="rId7"/>
                    <a:stretch>
                      <a:fillRect/>
                    </a:stretch>
                  </pic:blipFill>
                  <pic:spPr>
                    <a:xfrm>
                      <a:off x="0" y="0"/>
                      <a:ext cx="6468745" cy="646874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drawing>
          <wp:inline distT="0" distB="0" distL="114300" distR="114300">
            <wp:extent cx="6233160" cy="7025005"/>
            <wp:effectExtent l="0" t="0" r="15240" b="4445"/>
            <wp:docPr id="5" name="图片 5" descr="YD2000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YD2000A (4)"/>
                    <pic:cNvPicPr>
                      <a:picLocks noChangeAspect="1"/>
                    </pic:cNvPicPr>
                  </pic:nvPicPr>
                  <pic:blipFill>
                    <a:blip r:embed="rId8"/>
                    <a:stretch>
                      <a:fillRect/>
                    </a:stretch>
                  </pic:blipFill>
                  <pic:spPr>
                    <a:xfrm>
                      <a:off x="0" y="0"/>
                      <a:ext cx="6233160" cy="702500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143625" cy="7276465"/>
            <wp:effectExtent l="0" t="0" r="9525" b="635"/>
            <wp:docPr id="6" name="图片 6" descr="YD2000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YD2000A (5)"/>
                    <pic:cNvPicPr>
                      <a:picLocks noChangeAspect="1"/>
                    </pic:cNvPicPr>
                  </pic:nvPicPr>
                  <pic:blipFill>
                    <a:blip r:embed="rId9"/>
                    <a:stretch>
                      <a:fillRect/>
                    </a:stretch>
                  </pic:blipFill>
                  <pic:spPr>
                    <a:xfrm>
                      <a:off x="0" y="0"/>
                      <a:ext cx="6143625" cy="727646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both"/>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YD2000A产品介绍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临床应用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val="0"/>
          <w:bCs w:val="0"/>
          <w:i w:val="0"/>
          <w:caps w:val="0"/>
          <w:color w:val="333333"/>
          <w:spacing w:val="0"/>
          <w:sz w:val="32"/>
          <w:szCs w:val="32"/>
          <w:shd w:val="clear" w:fill="FFFFFF"/>
        </w:rPr>
      </w:pPr>
      <w:r>
        <w:rPr>
          <w:rFonts w:hint="eastAsia" w:ascii="宋体" w:hAnsi="宋体" w:eastAsia="宋体" w:cs="宋体"/>
          <w:b w:val="0"/>
          <w:bCs w:val="0"/>
          <w:i w:val="0"/>
          <w:caps w:val="0"/>
          <w:color w:val="333333"/>
          <w:spacing w:val="0"/>
          <w:sz w:val="32"/>
          <w:szCs w:val="32"/>
          <w:shd w:val="clear" w:fill="FFFFFF"/>
        </w:rPr>
        <w:t>普外、骨科、胸腹外科、心胸外科、泌尿外科、妇科以及水下汽化以及出血较多的肝脾类内外科手术，特别适用于消化科内镜手术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技术参数</w:t>
      </w:r>
    </w:p>
    <w:tbl>
      <w:tblPr>
        <w:tblStyle w:val="12"/>
        <w:tblW w:w="1070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149"/>
        <w:gridCol w:w="2134"/>
        <w:gridCol w:w="2134"/>
        <w:gridCol w:w="2134"/>
        <w:gridCol w:w="2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543" w:hRule="atLeast"/>
          <w:tblCellSpacing w:w="15" w:type="dxa"/>
        </w:trPr>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模式</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混切1</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混切2</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凝</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面凝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92" w:hRule="atLeast"/>
          <w:tblCellSpacing w:w="15" w:type="dxa"/>
        </w:trPr>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工作频率（MHz)</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0.512</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0.512</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0.512</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692" w:hRule="atLeast"/>
          <w:tblCellSpacing w:w="15" w:type="dxa"/>
        </w:trPr>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功率输出（W）</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350</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200</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92" w:hRule="atLeast"/>
          <w:tblCellSpacing w:w="15" w:type="dxa"/>
        </w:trPr>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额定负载（Ω）</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w:t>
            </w:r>
          </w:p>
        </w:tc>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3" w:hRule="atLeast"/>
          <w:tblCellSpacing w:w="15" w:type="dxa"/>
        </w:trPr>
        <w:tc>
          <w:tcPr>
            <w:tcW w:w="210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氩气流量</w:t>
            </w:r>
          </w:p>
        </w:tc>
        <w:tc>
          <w:tcPr>
            <w:tcW w:w="8506" w:type="dxa"/>
            <w:gridSpan w:val="4"/>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0-3L/min (分辨率 0.1L/min)</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标准配置单</w:t>
      </w:r>
    </w:p>
    <w:tbl>
      <w:tblPr>
        <w:tblStyle w:val="12"/>
        <w:tblW w:w="1076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802"/>
        <w:gridCol w:w="1791"/>
        <w:gridCol w:w="1787"/>
        <w:gridCol w:w="1787"/>
        <w:gridCol w:w="1791"/>
        <w:gridCol w:w="1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1112" w:hRule="atLeast"/>
          <w:tblCellSpacing w:w="15" w:type="dxa"/>
        </w:trPr>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手控氩气喷笔</w:t>
            </w:r>
          </w:p>
        </w:tc>
        <w:tc>
          <w:tcPr>
            <w:tcW w:w="176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脚控氩气喷笔</w:t>
            </w:r>
          </w:p>
        </w:tc>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普通手控刀</w:t>
            </w:r>
          </w:p>
        </w:tc>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普通脚控刀</w:t>
            </w:r>
          </w:p>
        </w:tc>
        <w:tc>
          <w:tcPr>
            <w:tcW w:w="176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消化道内镜喷凝电极</w:t>
            </w:r>
          </w:p>
        </w:tc>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永磁式双联脚踏开关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12" w:hRule="atLeast"/>
          <w:tblCellSpacing w:w="15" w:type="dxa"/>
        </w:trPr>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中性电极</w:t>
            </w:r>
          </w:p>
        </w:tc>
        <w:tc>
          <w:tcPr>
            <w:tcW w:w="176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可高温消毒绝缘容器</w:t>
            </w:r>
          </w:p>
        </w:tc>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保修卡</w:t>
            </w:r>
          </w:p>
        </w:tc>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电源线</w:t>
            </w:r>
          </w:p>
        </w:tc>
        <w:tc>
          <w:tcPr>
            <w:tcW w:w="176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说明书</w:t>
            </w:r>
          </w:p>
        </w:tc>
        <w:tc>
          <w:tcPr>
            <w:tcW w:w="175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禁忌症：</w:t>
      </w:r>
      <w:r>
        <w:rPr>
          <w:rFonts w:hint="eastAsia" w:ascii="宋体" w:hAnsi="宋体" w:eastAsia="宋体" w:cs="宋体"/>
          <w:i w:val="0"/>
          <w:caps w:val="0"/>
          <w:color w:val="333333"/>
          <w:spacing w:val="0"/>
          <w:sz w:val="32"/>
          <w:szCs w:val="32"/>
          <w:shd w:val="clear" w:fill="FFFFFF"/>
        </w:rPr>
        <w:t>使用起搏器或有源植入物的患者；手术过程中高频电流可能流过横截面积小的部位，为避免不必要的凝结，使用双极技术。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上海沪通 YD2000 氩气电刀 包装规格</w:t>
      </w:r>
      <w:r>
        <w:rPr>
          <w:rFonts w:hint="eastAsia" w:ascii="宋体" w:hAnsi="宋体" w:eastAsia="宋体" w:cs="宋体"/>
          <w:i w:val="0"/>
          <w:caps w:val="0"/>
          <w:color w:val="333333"/>
          <w:spacing w:val="0"/>
          <w:sz w:val="32"/>
          <w:szCs w:val="32"/>
          <w:shd w:val="clear" w:fill="FFFFFF"/>
        </w:rPr>
        <w:t>：</w:t>
      </w:r>
    </w:p>
    <w:tbl>
      <w:tblPr>
        <w:tblStyle w:val="12"/>
        <w:tblW w:w="10619" w:type="dxa"/>
        <w:tblCellSpacing w:w="7" w:type="dxa"/>
        <w:tblInd w:w="0" w:type="dxa"/>
        <w:shd w:val="clear" w:color="auto" w:fill="FFFFFF"/>
        <w:tblLayout w:type="fixed"/>
        <w:tblCellMar>
          <w:top w:w="30" w:type="dxa"/>
          <w:left w:w="30" w:type="dxa"/>
          <w:bottom w:w="30" w:type="dxa"/>
          <w:right w:w="30" w:type="dxa"/>
        </w:tblCellMar>
      </w:tblPr>
      <w:tblGrid>
        <w:gridCol w:w="5310"/>
        <w:gridCol w:w="5309"/>
      </w:tblGrid>
      <w:tr>
        <w:tblPrEx>
          <w:shd w:val="clear" w:color="auto" w:fill="FFFFFF"/>
          <w:tblLayout w:type="fixed"/>
          <w:tblCellMar>
            <w:top w:w="30" w:type="dxa"/>
            <w:left w:w="30" w:type="dxa"/>
            <w:bottom w:w="30" w:type="dxa"/>
            <w:right w:w="30" w:type="dxa"/>
          </w:tblCellMar>
        </w:tblPrEx>
        <w:trPr>
          <w:trHeight w:val="489" w:hRule="atLeast"/>
          <w:tblCellSpacing w:w="7" w:type="dxa"/>
        </w:trPr>
        <w:tc>
          <w:tcPr>
            <w:tcW w:w="5289"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主机尺寸</w:t>
            </w:r>
          </w:p>
        </w:tc>
        <w:tc>
          <w:tcPr>
            <w:tcW w:w="5288"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530×570×1090(mm)</w:t>
            </w:r>
          </w:p>
        </w:tc>
      </w:tr>
      <w:tr>
        <w:tblPrEx>
          <w:tblLayout w:type="fixed"/>
          <w:tblCellMar>
            <w:top w:w="30" w:type="dxa"/>
            <w:left w:w="30" w:type="dxa"/>
            <w:bottom w:w="30" w:type="dxa"/>
            <w:right w:w="30" w:type="dxa"/>
          </w:tblCellMar>
        </w:tblPrEx>
        <w:trPr>
          <w:trHeight w:val="483" w:hRule="atLeast"/>
          <w:tblCellSpacing w:w="7" w:type="dxa"/>
        </w:trPr>
        <w:tc>
          <w:tcPr>
            <w:tcW w:w="5289"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包装体积</w:t>
            </w:r>
          </w:p>
        </w:tc>
        <w:tc>
          <w:tcPr>
            <w:tcW w:w="5288"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750×630×1243(mm)</w:t>
            </w:r>
          </w:p>
        </w:tc>
      </w:tr>
      <w:tr>
        <w:tblPrEx>
          <w:tblLayout w:type="fixed"/>
          <w:tblCellMar>
            <w:top w:w="30" w:type="dxa"/>
            <w:left w:w="30" w:type="dxa"/>
            <w:bottom w:w="30" w:type="dxa"/>
            <w:right w:w="30" w:type="dxa"/>
          </w:tblCellMar>
        </w:tblPrEx>
        <w:trPr>
          <w:trHeight w:val="483" w:hRule="atLeast"/>
          <w:tblCellSpacing w:w="7" w:type="dxa"/>
        </w:trPr>
        <w:tc>
          <w:tcPr>
            <w:tcW w:w="5289"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净重</w:t>
            </w:r>
          </w:p>
        </w:tc>
        <w:tc>
          <w:tcPr>
            <w:tcW w:w="5288"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63kg</w:t>
            </w:r>
          </w:p>
        </w:tc>
      </w:tr>
      <w:tr>
        <w:tblPrEx>
          <w:tblLayout w:type="fixed"/>
          <w:tblCellMar>
            <w:top w:w="30" w:type="dxa"/>
            <w:left w:w="30" w:type="dxa"/>
            <w:bottom w:w="30" w:type="dxa"/>
            <w:right w:w="30" w:type="dxa"/>
          </w:tblCellMar>
        </w:tblPrEx>
        <w:trPr>
          <w:trHeight w:val="489" w:hRule="atLeast"/>
          <w:tblCellSpacing w:w="7" w:type="dxa"/>
        </w:trPr>
        <w:tc>
          <w:tcPr>
            <w:tcW w:w="5289"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毛重</w:t>
            </w:r>
          </w:p>
        </w:tc>
        <w:tc>
          <w:tcPr>
            <w:tcW w:w="5288"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100kg</w:t>
            </w:r>
          </w:p>
        </w:tc>
      </w:tr>
    </w:tbl>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上海沪通电子有限公司</w:t>
      </w:r>
    </w:p>
    <w:p>
      <w:pPr>
        <w:tabs>
          <w:tab w:val="left" w:pos="4132"/>
        </w:tabs>
        <w:jc w:val="center"/>
        <w:rPr>
          <w:rFonts w:hint="eastAsia" w:ascii="font-size:22pt;" w:hAnsi="font-size:22pt;" w:eastAsia="宋体" w:cs="font-size:22pt;"/>
          <w:b/>
          <w:i w:val="0"/>
          <w:caps w:val="0"/>
          <w:color w:val="333333"/>
          <w:spacing w:val="0"/>
          <w:sz w:val="32"/>
          <w:szCs w:val="32"/>
          <w:shd w:val="clear" w:fill="FFFFFF"/>
          <w:lang w:eastAsia="zh-CN"/>
        </w:rPr>
      </w:pPr>
      <w:r>
        <w:rPr>
          <w:rFonts w:hint="eastAsia" w:ascii="font-size:22pt;" w:hAnsi="font-size:22pt;" w:eastAsia="宋体" w:cs="font-size:22pt;"/>
          <w:b/>
          <w:i w:val="0"/>
          <w:caps w:val="0"/>
          <w:color w:val="333333"/>
          <w:spacing w:val="0"/>
          <w:sz w:val="32"/>
          <w:szCs w:val="32"/>
          <w:shd w:val="clear" w:fill="FFFFFF"/>
          <w:lang w:eastAsia="zh-CN"/>
        </w:rPr>
        <w:drawing>
          <wp:inline distT="0" distB="0" distL="114300" distR="114300">
            <wp:extent cx="5057775" cy="8225790"/>
            <wp:effectExtent l="0" t="0" r="9525" b="381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0"/>
                    <a:stretch>
                      <a:fillRect/>
                    </a:stretch>
                  </pic:blipFill>
                  <pic:spPr>
                    <a:xfrm>
                      <a:off x="0" y="0"/>
                      <a:ext cx="5057775" cy="82257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上海沪通高频电刀产品型号表</w:t>
      </w:r>
    </w:p>
    <w:tbl>
      <w:tblPr>
        <w:tblStyle w:val="12"/>
        <w:tblW w:w="10160" w:type="dxa"/>
        <w:jc w:val="center"/>
        <w:tblCellSpacing w:w="0" w:type="dxa"/>
        <w:tblInd w:w="14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
      <w:tblGrid>
        <w:gridCol w:w="5591"/>
        <w:gridCol w:w="45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产品型号</w:t>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产品特色</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具有单/双极模式</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沪通高频电刀GD350-P</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具有切/凝合一功能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沪通高频电刀GD350-S1</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双极电凝型 可在精细手术中作凝血作用</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沪通高频电刀GD350-B4A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单双极模式 可执行各种微创手术的切凝功能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沪通高频电刀GD350-S3</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双极射频电凝型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双极电切电凝型 大屏幕彩色液晶屏显示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多功能大功率面凝 双极 大功率智能型</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双极电凝器适用于中小型外科手术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大功率单极高频电刀</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沪通高频电刀GD350-T</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自动调节凝血效果</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沪通高频电刀GD350-E</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微创手术理想的电外科设备</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沪通妇科Leep手术治疗系统B型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采用4.1MHz高频妇科治疗方案</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沪通氩气电刀YD2000/YD2000A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止血能力超强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沪通妇科Leep手术专用治疗系统E型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降低有害物质对医患的损害</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具有氩气增强功能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w:t>
            </w:r>
            <w:r>
              <w:rPr>
                <w:rStyle w:val="11"/>
                <w:rFonts w:hint="eastAsia" w:ascii="宋体" w:hAnsi="宋体" w:eastAsia="宋体" w:cs="宋体"/>
                <w:i w:val="0"/>
                <w:caps w:val="0"/>
                <w:color w:val="333333"/>
                <w:spacing w:val="0"/>
                <w:sz w:val="36"/>
                <w:szCs w:val="36"/>
                <w:u w:val="none"/>
              </w:rPr>
              <w:br w:type="textWrapping"/>
            </w:r>
            <w:r>
              <w:rPr>
                <w:rStyle w:val="11"/>
                <w:rFonts w:hint="eastAsia" w:ascii="宋体" w:hAnsi="宋体" w:eastAsia="宋体" w:cs="宋体"/>
                <w:i w:val="0"/>
                <w:caps w:val="0"/>
                <w:color w:val="333333"/>
                <w:spacing w:val="0"/>
                <w:sz w:val="36"/>
                <w:szCs w:val="36"/>
                <w:u w:val="none"/>
              </w:rPr>
              <w:t>GD350-Ar+GD350-B5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流量控制精度高</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2384"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w:t>
            </w:r>
            <w:r>
              <w:rPr>
                <w:rStyle w:val="11"/>
                <w:rFonts w:hint="eastAsia" w:ascii="宋体" w:hAnsi="宋体" w:eastAsia="宋体" w:cs="宋体"/>
                <w:i w:val="0"/>
                <w:caps w:val="0"/>
                <w:color w:val="333333"/>
                <w:spacing w:val="0"/>
                <w:sz w:val="36"/>
                <w:szCs w:val="36"/>
                <w:u w:val="none"/>
              </w:rPr>
              <w:br w:type="textWrapping"/>
            </w:r>
            <w:r>
              <w:rPr>
                <w:rFonts w:hint="eastAsia" w:ascii="宋体" w:hAnsi="宋体" w:eastAsia="宋体" w:cs="宋体"/>
                <w:i w:val="0"/>
                <w:caps w:val="0"/>
                <w:color w:val="333333"/>
                <w:spacing w:val="0"/>
                <w:kern w:val="0"/>
                <w:sz w:val="24"/>
                <w:szCs w:val="24"/>
                <w:u w:val="none"/>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r>
              <w:rPr>
                <w:rFonts w:hint="eastAsia" w:ascii="宋体" w:hAnsi="宋体" w:eastAsia="宋体" w:cs="宋体"/>
                <w:i w:val="0"/>
                <w:caps w:val="0"/>
                <w:color w:val="333333"/>
                <w:spacing w:val="0"/>
                <w:sz w:val="21"/>
                <w:szCs w:val="21"/>
                <w:u w:val="none"/>
              </w:rPr>
              <w:fldChar w:fldCharType="begin"/>
            </w:r>
            <w:r>
              <w:rPr>
                <w:rFonts w:hint="eastAsia" w:ascii="宋体" w:hAnsi="宋体" w:eastAsia="宋体" w:cs="宋体"/>
                <w:i w:val="0"/>
                <w:caps w:val="0"/>
                <w:color w:val="333333"/>
                <w:spacing w:val="0"/>
                <w:sz w:val="21"/>
                <w:szCs w:val="21"/>
                <w:u w:val="none"/>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sz w:val="21"/>
                <w:szCs w:val="21"/>
                <w:u w:val="none"/>
              </w:rPr>
              <w:fldChar w:fldCharType="separate"/>
            </w:r>
            <w:r>
              <w:rPr>
                <w:rStyle w:val="11"/>
                <w:rFonts w:hint="eastAsia" w:ascii="宋体" w:hAnsi="宋体" w:eastAsia="宋体" w:cs="宋体"/>
                <w:i w:val="0"/>
                <w:caps w:val="0"/>
                <w:color w:val="333333"/>
                <w:spacing w:val="0"/>
                <w:sz w:val="36"/>
                <w:szCs w:val="36"/>
                <w:u w:val="none"/>
              </w:rPr>
              <w:t>GD350-Ar+GD350-D</w:t>
            </w:r>
            <w:r>
              <w:rPr>
                <w:rFonts w:hint="eastAsia" w:ascii="宋体" w:hAnsi="宋体" w:eastAsia="宋体" w:cs="宋体"/>
                <w:i w:val="0"/>
                <w:caps w:val="0"/>
                <w:color w:val="333333"/>
                <w:spacing w:val="0"/>
                <w:sz w:val="21"/>
                <w:szCs w:val="21"/>
                <w:u w:val="none"/>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可增强切/凝效果</w:t>
            </w:r>
            <w:r>
              <w:rPr>
                <w:rFonts w:hint="eastAsia" w:ascii="宋体" w:hAnsi="宋体" w:eastAsia="宋体" w:cs="宋体"/>
                <w:i w:val="0"/>
                <w:caps w:val="0"/>
                <w:color w:val="333333"/>
                <w:spacing w:val="0"/>
                <w:kern w:val="0"/>
                <w:sz w:val="24"/>
                <w:szCs w:val="24"/>
                <w:u w:val="none"/>
                <w:lang w:val="en-US" w:eastAsia="zh-CN" w:bidi="ar"/>
              </w:rPr>
              <w:fldChar w:fldCharType="end"/>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jc w:val="center"/>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rFonts w:hint="eastAsia"/>
          <w:i w:val="0"/>
          <w:caps w:val="0"/>
          <w:color w:val="CC0000"/>
          <w:spacing w:val="0"/>
          <w:sz w:val="32"/>
          <w:szCs w:val="32"/>
          <w:shd w:val="clear" w:fill="FFFFFF"/>
        </w:rPr>
      </w:pPr>
      <w:r>
        <w:rPr>
          <w:rStyle w:val="10"/>
          <w:rFonts w:hint="eastAsia"/>
          <w:i w:val="0"/>
          <w:caps w:val="0"/>
          <w:color w:val="CC0000"/>
          <w:spacing w:val="0"/>
          <w:sz w:val="32"/>
          <w:szCs w:val="32"/>
          <w:shd w:val="clear" w:fill="FFFFFF"/>
        </w:rPr>
        <w:t>沪通氩气电刀YD2000</w:t>
      </w:r>
      <w:r>
        <w:rPr>
          <w:rStyle w:val="10"/>
          <w:rFonts w:hint="eastAsia"/>
          <w:i w:val="0"/>
          <w:caps w:val="0"/>
          <w:color w:val="CC0000"/>
          <w:spacing w:val="0"/>
          <w:sz w:val="32"/>
          <w:szCs w:val="32"/>
          <w:shd w:val="clear" w:fill="FFFFFF"/>
          <w:lang w:val="en-US" w:eastAsia="zh-CN"/>
        </w:rPr>
        <w:t>A</w:t>
      </w:r>
      <w:r>
        <w:rPr>
          <w:rStyle w:val="10"/>
          <w:rFonts w:hint="eastAsia"/>
          <w:i w:val="0"/>
          <w:caps w:val="0"/>
          <w:color w:val="CC0000"/>
          <w:spacing w:val="0"/>
          <w:sz w:val="32"/>
          <w:szCs w:val="32"/>
          <w:shd w:val="clear" w:fill="FFFFFF"/>
        </w:rPr>
        <w:t xml:space="preserve"> 止血能力超强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rFonts w:hint="eastAsia"/>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FF0000"/>
          <w:spacing w:val="0"/>
          <w:sz w:val="32"/>
          <w:szCs w:val="32"/>
          <w:shd w:val="clear" w:fill="FFFFFF"/>
        </w:rPr>
        <w:t>销售部电话：021-51601230 钱经理 13816458218</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销售部地址：上海市静安区海宁路1399号金城大厦417室</w:t>
      </w:r>
    </w:p>
    <w:p>
      <w:pPr>
        <w:keepNext w:val="0"/>
        <w:keepLines w:val="0"/>
        <w:widowControl/>
        <w:suppressLineNumbers w:val="0"/>
        <w:spacing w:before="0" w:beforeAutospacing="0" w:after="0" w:afterAutospacing="0"/>
        <w:ind w:left="0" w:right="0"/>
        <w:jc w:val="left"/>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i w:val="0"/>
          <w:caps w:val="0"/>
          <w:color w:val="333333"/>
          <w:spacing w:val="0"/>
          <w:sz w:val="32"/>
          <w:szCs w:val="32"/>
          <w:shd w:val="clear" w:fill="FFFFFF"/>
        </w:rPr>
      </w:pPr>
      <w:r>
        <w:rPr>
          <w:rStyle w:val="10"/>
          <w:rFonts w:hint="eastAsia" w:asciiTheme="majorEastAsia" w:hAnsiTheme="majorEastAsia" w:eastAsiaTheme="majorEastAsia" w:cstheme="majorEastAsia"/>
          <w:i w:val="0"/>
          <w:caps w:val="0"/>
          <w:color w:val="333333"/>
          <w:spacing w:val="0"/>
          <w:sz w:val="32"/>
          <w:szCs w:val="32"/>
          <w:shd w:val="clear" w:fill="FFFFFF"/>
        </w:rPr>
        <w:t xml:space="preserve">沪通氩气电刀 YD2000 </w:t>
      </w:r>
      <w:r>
        <w:rPr>
          <w:rStyle w:val="10"/>
          <w:rFonts w:hint="eastAsia" w:asciiTheme="majorEastAsia" w:hAnsiTheme="majorEastAsia" w:eastAsiaTheme="majorEastAsia" w:cstheme="majorEastAsia"/>
          <w:i w:val="0"/>
          <w:caps w:val="0"/>
          <w:color w:val="333333"/>
          <w:spacing w:val="0"/>
          <w:sz w:val="32"/>
          <w:szCs w:val="32"/>
          <w:shd w:val="clear" w:fill="FFFFFF"/>
          <w:lang w:val="en-US" w:eastAsia="zh-CN"/>
        </w:rPr>
        <w:t>A</w:t>
      </w:r>
      <w:r>
        <w:rPr>
          <w:rStyle w:val="10"/>
          <w:rFonts w:hint="eastAsia" w:asciiTheme="majorEastAsia" w:hAnsiTheme="majorEastAsia" w:eastAsiaTheme="majorEastAsia" w:cstheme="majorEastAsia"/>
          <w:i w:val="0"/>
          <w:caps w:val="0"/>
          <w:color w:val="333333"/>
          <w:spacing w:val="0"/>
          <w:sz w:val="32"/>
          <w:szCs w:val="32"/>
          <w:shd w:val="clear" w:fill="FFFFFF"/>
        </w:rPr>
        <w:t>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2"/>
          <w:szCs w:val="32"/>
          <w:shd w:val="clear" w:fill="FFFFFF"/>
        </w:rPr>
      </w:pPr>
      <w:r>
        <w:rPr>
          <w:rStyle w:val="10"/>
          <w:rFonts w:hint="eastAsia" w:asciiTheme="majorEastAsia" w:hAnsiTheme="majorEastAsia" w:eastAsiaTheme="majorEastAsia" w:cstheme="majorEastAsia"/>
          <w:b w:val="0"/>
          <w:bCs w:val="0"/>
          <w:i w:val="0"/>
          <w:caps w:val="0"/>
          <w:color w:val="333333"/>
          <w:spacing w:val="0"/>
          <w:sz w:val="32"/>
          <w:szCs w:val="32"/>
          <w:shd w:val="clear" w:fill="FFFFFF"/>
        </w:rPr>
        <w:t>沪通氩气电刀 YD2000</w:t>
      </w:r>
      <w:r>
        <w:rPr>
          <w:rStyle w:val="10"/>
          <w:rFonts w:hint="eastAsia" w:asciiTheme="majorEastAsia" w:hAnsiTheme="majorEastAsia" w:eastAsiaTheme="majorEastAsia" w:cstheme="majorEastAsia"/>
          <w:b w:val="0"/>
          <w:bCs w:val="0"/>
          <w:i w:val="0"/>
          <w:caps w:val="0"/>
          <w:color w:val="333333"/>
          <w:spacing w:val="0"/>
          <w:sz w:val="32"/>
          <w:szCs w:val="32"/>
          <w:shd w:val="clear" w:fill="FFFFFF"/>
          <w:lang w:val="en-US" w:eastAsia="zh-CN"/>
        </w:rPr>
        <w:t>A</w:t>
      </w:r>
      <w:r>
        <w:rPr>
          <w:rStyle w:val="10"/>
          <w:rFonts w:hint="eastAsia" w:asciiTheme="majorEastAsia" w:hAnsiTheme="majorEastAsia" w:eastAsiaTheme="majorEastAsia" w:cstheme="majorEastAsia"/>
          <w:b w:val="0"/>
          <w:bCs w:val="0"/>
          <w:i w:val="0"/>
          <w:caps w:val="0"/>
          <w:color w:val="333333"/>
          <w:spacing w:val="0"/>
          <w:sz w:val="32"/>
          <w:szCs w:val="32"/>
          <w:shd w:val="clear" w:fill="FFFFFF"/>
        </w:rPr>
        <w:t>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2"/>
          <w:szCs w:val="32"/>
          <w:shd w:val="clear" w:fill="FFFFFF"/>
        </w:rPr>
      </w:pPr>
      <w:r>
        <w:rPr>
          <w:rStyle w:val="10"/>
          <w:rFonts w:hint="eastAsia" w:asciiTheme="majorEastAsia" w:hAnsiTheme="majorEastAsia" w:eastAsiaTheme="majorEastAsia" w:cstheme="majorEastAsia"/>
          <w:b w:val="0"/>
          <w:bCs w:val="0"/>
          <w:i w:val="0"/>
          <w:caps w:val="0"/>
          <w:color w:val="333333"/>
          <w:spacing w:val="0"/>
          <w:sz w:val="32"/>
          <w:szCs w:val="32"/>
          <w:shd w:val="clear" w:fill="FFFFFF"/>
        </w:rPr>
        <w:t>我们向您保证您定购的沪通氩气电刀 YD2000</w:t>
      </w:r>
      <w:r>
        <w:rPr>
          <w:rStyle w:val="10"/>
          <w:rFonts w:hint="eastAsia" w:asciiTheme="majorEastAsia" w:hAnsiTheme="majorEastAsia" w:eastAsiaTheme="majorEastAsia" w:cstheme="majorEastAsia"/>
          <w:b w:val="0"/>
          <w:bCs w:val="0"/>
          <w:i w:val="0"/>
          <w:caps w:val="0"/>
          <w:color w:val="333333"/>
          <w:spacing w:val="0"/>
          <w:sz w:val="32"/>
          <w:szCs w:val="32"/>
          <w:shd w:val="clear" w:fill="FFFFFF"/>
          <w:lang w:val="en-US" w:eastAsia="zh-CN"/>
        </w:rPr>
        <w:t>A</w:t>
      </w:r>
      <w:r>
        <w:rPr>
          <w:rStyle w:val="10"/>
          <w:rFonts w:hint="eastAsia" w:asciiTheme="majorEastAsia" w:hAnsiTheme="majorEastAsia" w:eastAsiaTheme="majorEastAsia" w:cstheme="majorEastAsia"/>
          <w:b w:val="0"/>
          <w:bCs w:val="0"/>
          <w:i w:val="0"/>
          <w:caps w:val="0"/>
          <w:color w:val="333333"/>
          <w:spacing w:val="0"/>
          <w:sz w:val="32"/>
          <w:szCs w:val="32"/>
          <w:shd w:val="clear" w:fill="FFFFFF"/>
        </w:rPr>
        <w:t>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2"/>
          <w:szCs w:val="32"/>
          <w:shd w:val="clear" w:fill="FFFFFF"/>
        </w:rPr>
      </w:pPr>
      <w:r>
        <w:rPr>
          <w:rStyle w:val="10"/>
          <w:rFonts w:hint="eastAsia" w:asciiTheme="majorEastAsia" w:hAnsiTheme="majorEastAsia" w:eastAsiaTheme="majorEastAsia" w:cstheme="majorEastAsia"/>
          <w:b w:val="0"/>
          <w:bCs w:val="0"/>
          <w:i w:val="0"/>
          <w:caps w:val="0"/>
          <w:color w:val="333333"/>
          <w:spacing w:val="0"/>
          <w:sz w:val="32"/>
          <w:szCs w:val="32"/>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6"/>
          <w:szCs w:val="36"/>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10"/>
          <w:rFonts w:hint="eastAsia" w:asciiTheme="majorEastAsia" w:hAnsiTheme="majorEastAsia" w:eastAsiaTheme="majorEastAsia" w:cstheme="majorEastAsia"/>
          <w:b w:val="0"/>
          <w:bCs w:val="0"/>
          <w:i w:val="0"/>
          <w:caps w:val="0"/>
          <w:color w:val="333333"/>
          <w:spacing w:val="0"/>
          <w:sz w:val="36"/>
          <w:szCs w:val="36"/>
          <w:shd w:val="clear" w:fill="FFFFFF"/>
        </w:rPr>
      </w:pPr>
      <w:r>
        <w:rPr>
          <w:rStyle w:val="10"/>
          <w:rFonts w:hint="eastAsia" w:asciiTheme="majorEastAsia" w:hAnsiTheme="majorEastAsia" w:eastAsiaTheme="majorEastAsia" w:cstheme="majorEastAsia"/>
          <w:b w:val="0"/>
          <w:bCs w:val="0"/>
          <w:i w:val="0"/>
          <w:caps w:val="0"/>
          <w:color w:val="333333"/>
          <w:spacing w:val="0"/>
          <w:sz w:val="36"/>
          <w:szCs w:val="36"/>
          <w:shd w:val="clear" w:fill="FFFFFF"/>
        </w:rPr>
        <w:t>售后服务中心电话：021-51601230</w:t>
      </w: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沪通高频电刀</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沪通</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高频电刀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VMjqGr6BNcJv1SX793+Q6hSf+qw=" w:salt="2Gq3Qc0afMeYfpS37Ko6FA=="/>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1F5865"/>
    <w:rsid w:val="00823962"/>
    <w:rsid w:val="0B826714"/>
    <w:rsid w:val="1285044A"/>
    <w:rsid w:val="144B7D47"/>
    <w:rsid w:val="1CCA18B8"/>
    <w:rsid w:val="1E966ADC"/>
    <w:rsid w:val="25944F4F"/>
    <w:rsid w:val="27EC1E53"/>
    <w:rsid w:val="2ACC6EBE"/>
    <w:rsid w:val="2CD42579"/>
    <w:rsid w:val="2D593A73"/>
    <w:rsid w:val="33FD772B"/>
    <w:rsid w:val="40256960"/>
    <w:rsid w:val="481E798A"/>
    <w:rsid w:val="49835CBB"/>
    <w:rsid w:val="4C331CEA"/>
    <w:rsid w:val="4D0D5D21"/>
    <w:rsid w:val="4D8F21A9"/>
    <w:rsid w:val="5DE45164"/>
    <w:rsid w:val="60FB49D1"/>
    <w:rsid w:val="633C0C3C"/>
    <w:rsid w:val="64092B57"/>
    <w:rsid w:val="71925BA2"/>
    <w:rsid w:val="7B644ED0"/>
    <w:rsid w:val="7CD81FE7"/>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13</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2019-09-10T01:56:20Z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